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8F" w:rsidRPr="00832C8F" w:rsidRDefault="00832C8F" w:rsidP="00832C8F">
      <w:pPr>
        <w:pStyle w:val="a3"/>
        <w:jc w:val="center"/>
        <w:rPr>
          <w:rFonts w:ascii="Roboto" w:hAnsi="Roboto" w:cs="Arial"/>
          <w:b/>
          <w:color w:val="333333"/>
          <w:sz w:val="28"/>
          <w:szCs w:val="28"/>
        </w:rPr>
      </w:pPr>
      <w:r w:rsidRPr="00832C8F">
        <w:rPr>
          <w:rFonts w:cs="Arial"/>
          <w:b/>
          <w:color w:val="333333"/>
          <w:sz w:val="28"/>
          <w:szCs w:val="28"/>
        </w:rPr>
        <w:t xml:space="preserve">Подтверждение статуса </w:t>
      </w:r>
      <w:proofErr w:type="spellStart"/>
      <w:r w:rsidRPr="00832C8F">
        <w:rPr>
          <w:rFonts w:cs="Arial"/>
          <w:b/>
          <w:color w:val="333333"/>
          <w:sz w:val="28"/>
          <w:szCs w:val="28"/>
        </w:rPr>
        <w:t>предпенсионера</w:t>
      </w:r>
      <w:proofErr w:type="spellEnd"/>
      <w:r w:rsidRPr="00832C8F">
        <w:rPr>
          <w:rFonts w:cs="Arial"/>
          <w:b/>
          <w:color w:val="333333"/>
          <w:sz w:val="28"/>
          <w:szCs w:val="28"/>
        </w:rPr>
        <w:t>, не выходя из дома</w:t>
      </w:r>
    </w:p>
    <w:p w:rsidR="00832C8F" w:rsidRDefault="00832C8F" w:rsidP="00832C8F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</w:p>
    <w:p w:rsidR="00907942" w:rsidRDefault="00907942" w:rsidP="00832C8F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362325" cy="3390900"/>
            <wp:effectExtent l="19050" t="0" r="9525" b="0"/>
            <wp:wrapSquare wrapText="bothSides"/>
            <wp:docPr id="2" name="Рисунок 1" descr="Предпенсионеры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C8F" w:rsidRDefault="00832C8F" w:rsidP="00907942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С 1 января 2019 года была введена льготная категория граждан – лица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возраста. Для данных граждан установлен ряд льгот и мер социальной поддержки. 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>Например, скидка на оплату капремонта и других жилищно-коммунальных услуг, освобождение от имущественного и земельного налогов, льготы, связанные с ежегодной диспансеризацией, дополнительные гарантии трудовой занятости и другие.</w:t>
      </w:r>
      <w:proofErr w:type="gramEnd"/>
    </w:p>
    <w:p w:rsidR="00832C8F" w:rsidRDefault="00832C8F" w:rsidP="00832C8F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В 2020 году статус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приобретают мужчины 1960 – 1963 и женщины 1965 – 1968 годов рождения.</w:t>
      </w:r>
    </w:p>
    <w:p w:rsidR="00832C8F" w:rsidRDefault="00832C8F" w:rsidP="00907942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Пенсионный фонд РФ передает информацию об установлении статуса гражданина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возраста в органы власти через систему межведомственного электронного взаимодействия, а работодателям – в электронном виде по защищенным каналам связи. Следовательно,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предпенсионеру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не нужно самостоятельно получать документ, подтверждающий право на льготы, – достаточно подать заявление в ведомство, предоставляющее льготу.</w:t>
      </w:r>
    </w:p>
    <w:p w:rsidR="00832C8F" w:rsidRDefault="00832C8F" w:rsidP="00832C8F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</w:t>
      </w:r>
      <w:r w:rsidR="00907942">
        <w:rPr>
          <w:rFonts w:ascii="Roboto" w:hAnsi="Roboto" w:cs="Arial"/>
          <w:color w:val="333333"/>
          <w:sz w:val="27"/>
          <w:szCs w:val="27"/>
        </w:rPr>
        <w:tab/>
      </w:r>
      <w:r>
        <w:rPr>
          <w:rFonts w:ascii="Roboto" w:hAnsi="Roboto" w:cs="Arial"/>
          <w:color w:val="333333"/>
          <w:sz w:val="27"/>
          <w:szCs w:val="27"/>
        </w:rPr>
        <w:t xml:space="preserve">В случае необходимости такую справку можно оформить через личный кабинет на официальном сайте Пенсионного фонда https://www.pfrf.ru, не посещая территориальный орган ПФР. В личном кабинете следует выбрать в разделе «Пенсии» вкладку «Заказать справку (выписку): об отнесении гражданина к категории лиц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возраста», затем указать орган, куда предоставляются сведения. Сформированную справку можно получить на электронную почту, сохранить, распечатать, а также просмотреть в разделе «История обращений».</w:t>
      </w:r>
    </w:p>
    <w:p w:rsidR="00390A3A" w:rsidRDefault="00390A3A"/>
    <w:sectPr w:rsidR="00390A3A" w:rsidSect="0039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C8F"/>
    <w:rsid w:val="00390A3A"/>
    <w:rsid w:val="00832C8F"/>
    <w:rsid w:val="0090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C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0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2020-06-18T10:07:00Z</dcterms:created>
  <dcterms:modified xsi:type="dcterms:W3CDTF">2020-06-18T10:45:00Z</dcterms:modified>
</cp:coreProperties>
</file>